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761CE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C0013"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Default="00B3201B" w:rsidP="00B3201B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Жирятинского сельского Совета народных депутатов </w:t>
      </w:r>
      <w:r w:rsidR="00695866">
        <w:rPr>
          <w:rFonts w:ascii="Times New Roman" w:hAnsi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695866">
        <w:rPr>
          <w:rFonts w:ascii="Times New Roman" w:hAnsi="Times New Roman"/>
          <w:b/>
          <w:sz w:val="24"/>
          <w:szCs w:val="24"/>
        </w:rPr>
        <w:t>1</w:t>
      </w:r>
      <w:r w:rsidR="009F7B6B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.0</w:t>
      </w:r>
      <w:r w:rsidR="0069586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2021 г. № 4-</w:t>
      </w:r>
      <w:proofErr w:type="gramStart"/>
      <w:r w:rsidR="009F7B6B">
        <w:rPr>
          <w:rFonts w:ascii="Times New Roman" w:hAnsi="Times New Roman"/>
          <w:b/>
          <w:sz w:val="24"/>
          <w:szCs w:val="24"/>
        </w:rPr>
        <w:t>53</w:t>
      </w:r>
      <w:r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3201B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B3201B" w:rsidRDefault="00B3201B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7B3355">
        <w:rPr>
          <w:rFonts w:ascii="Times New Roman" w:hAnsi="Times New Roman"/>
          <w:sz w:val="24"/>
          <w:szCs w:val="24"/>
        </w:rPr>
        <w:t xml:space="preserve"> </w:t>
      </w:r>
      <w:r w:rsidR="00A10D82">
        <w:rPr>
          <w:rFonts w:ascii="Times New Roman" w:hAnsi="Times New Roman"/>
          <w:sz w:val="24"/>
          <w:szCs w:val="24"/>
        </w:rPr>
        <w:t>11</w:t>
      </w:r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55784E">
        <w:rPr>
          <w:rFonts w:ascii="Times New Roman" w:hAnsi="Times New Roman"/>
          <w:sz w:val="24"/>
          <w:szCs w:val="24"/>
        </w:rPr>
        <w:t>20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</w:t>
      </w:r>
      <w:r w:rsidR="0055784E">
        <w:rPr>
          <w:rFonts w:ascii="Times New Roman" w:hAnsi="Times New Roman"/>
          <w:sz w:val="24"/>
          <w:szCs w:val="24"/>
        </w:rPr>
        <w:t>-</w:t>
      </w:r>
      <w:r w:rsidR="00CE5BFC">
        <w:rPr>
          <w:rFonts w:ascii="Times New Roman" w:hAnsi="Times New Roman"/>
          <w:sz w:val="24"/>
          <w:szCs w:val="24"/>
        </w:rPr>
        <w:t>47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B970FB" w:rsidTr="00DC1791">
        <w:tc>
          <w:tcPr>
            <w:tcW w:w="5211" w:type="dxa"/>
            <w:shd w:val="clear" w:color="auto" w:fill="auto"/>
          </w:tcPr>
          <w:p w:rsidR="00934860" w:rsidRDefault="004A7305" w:rsidP="0055784E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 и на плановый период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 202</w:t>
            </w:r>
            <w:r w:rsidR="0055784E">
              <w:rPr>
                <w:rFonts w:ascii="Times New Roman" w:hAnsi="Times New Roman"/>
                <w:b/>
                <w:bCs/>
                <w:sz w:val="22"/>
                <w:szCs w:val="22"/>
              </w:rPr>
              <w:t>3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="0055784E">
        <w:rPr>
          <w:rFonts w:ascii="Times New Roman" w:hAnsi="Times New Roman"/>
          <w:snapToGrid/>
          <w:sz w:val="24"/>
          <w:szCs w:val="24"/>
        </w:rPr>
        <w:t>1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B60DB6">
        <w:rPr>
          <w:rFonts w:ascii="Times New Roman" w:hAnsi="Times New Roman"/>
          <w:snapToGrid/>
          <w:sz w:val="24"/>
          <w:szCs w:val="24"/>
        </w:rPr>
        <w:t xml:space="preserve">             </w:t>
      </w:r>
      <w:r w:rsidR="00E71DC6">
        <w:rPr>
          <w:rFonts w:ascii="Times New Roman" w:hAnsi="Times New Roman"/>
          <w:snapToGrid/>
          <w:sz w:val="24"/>
          <w:szCs w:val="24"/>
        </w:rPr>
        <w:t>17 17</w:t>
      </w:r>
      <w:r w:rsidR="00695866">
        <w:rPr>
          <w:rFonts w:ascii="Times New Roman" w:hAnsi="Times New Roman"/>
          <w:snapToGrid/>
          <w:sz w:val="24"/>
          <w:szCs w:val="24"/>
        </w:rPr>
        <w:t>1</w:t>
      </w:r>
      <w:r w:rsidR="00E71DC6">
        <w:rPr>
          <w:rFonts w:ascii="Times New Roman" w:hAnsi="Times New Roman"/>
          <w:snapToGrid/>
          <w:sz w:val="24"/>
          <w:szCs w:val="24"/>
        </w:rPr>
        <w:t> </w:t>
      </w:r>
      <w:r w:rsidR="00695866">
        <w:rPr>
          <w:rFonts w:ascii="Times New Roman" w:hAnsi="Times New Roman"/>
          <w:snapToGrid/>
          <w:sz w:val="24"/>
          <w:szCs w:val="24"/>
        </w:rPr>
        <w:t>9</w:t>
      </w:r>
      <w:r w:rsidR="00E71DC6">
        <w:rPr>
          <w:rFonts w:ascii="Times New Roman" w:hAnsi="Times New Roman"/>
          <w:snapToGrid/>
          <w:sz w:val="24"/>
          <w:szCs w:val="24"/>
        </w:rPr>
        <w:t>54,91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="00761CE3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E71DC6">
        <w:rPr>
          <w:rFonts w:ascii="Times New Roman" w:hAnsi="Times New Roman"/>
          <w:snapToGrid/>
          <w:sz w:val="24"/>
          <w:szCs w:val="24"/>
        </w:rPr>
        <w:t>18 436 807, 86</w:t>
      </w:r>
      <w:r w:rsidR="0055784E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695866">
        <w:rPr>
          <w:rFonts w:ascii="Times New Roman" w:hAnsi="Times New Roman"/>
          <w:snapToGrid/>
          <w:sz w:val="24"/>
          <w:szCs w:val="24"/>
        </w:rPr>
        <w:t>1 264 852,95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</w:t>
      </w:r>
      <w:r w:rsidR="00261124">
        <w:rPr>
          <w:rFonts w:ascii="Times New Roman" w:hAnsi="Times New Roman"/>
          <w:snapToGrid/>
          <w:sz w:val="24"/>
          <w:szCs w:val="24"/>
        </w:rPr>
        <w:t xml:space="preserve">2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> 488,56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61124">
        <w:rPr>
          <w:rFonts w:ascii="Times New Roman" w:hAnsi="Times New Roman"/>
          <w:snapToGrid/>
          <w:sz w:val="24"/>
          <w:szCs w:val="24"/>
        </w:rPr>
        <w:t>15 </w:t>
      </w:r>
      <w:r w:rsidR="000C1E97">
        <w:rPr>
          <w:rFonts w:ascii="Times New Roman" w:hAnsi="Times New Roman"/>
          <w:snapToGrid/>
          <w:sz w:val="24"/>
          <w:szCs w:val="24"/>
        </w:rPr>
        <w:t>361</w:t>
      </w:r>
      <w:r w:rsidR="00261124">
        <w:rPr>
          <w:rFonts w:ascii="Times New Roman" w:hAnsi="Times New Roman"/>
          <w:snapToGrid/>
          <w:sz w:val="24"/>
          <w:szCs w:val="24"/>
        </w:rPr>
        <w:t xml:space="preserve"> 488,56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261124">
        <w:rPr>
          <w:rFonts w:ascii="Times New Roman" w:hAnsi="Times New Roman"/>
          <w:snapToGrid/>
          <w:sz w:val="24"/>
          <w:szCs w:val="24"/>
        </w:rPr>
        <w:t>139105</w:t>
      </w:r>
      <w:r w:rsidR="00B60DB6">
        <w:rPr>
          <w:rFonts w:ascii="Times New Roman" w:hAnsi="Times New Roman"/>
          <w:snapToGrid/>
          <w:sz w:val="24"/>
          <w:szCs w:val="24"/>
        </w:rPr>
        <w:t>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61124">
        <w:rPr>
          <w:rFonts w:ascii="Times New Roman" w:hAnsi="Times New Roman"/>
          <w:snapToGrid/>
          <w:sz w:val="24"/>
          <w:szCs w:val="24"/>
        </w:rPr>
        <w:t>18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57</w:t>
      </w:r>
      <w:r w:rsidR="00B60DB6">
        <w:rPr>
          <w:rFonts w:ascii="Times New Roman" w:hAnsi="Times New Roman"/>
          <w:snapToGrid/>
          <w:sz w:val="24"/>
          <w:szCs w:val="24"/>
        </w:rPr>
        <w:t>8 433,03</w:t>
      </w:r>
      <w:r w:rsidR="00261124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261124">
        <w:rPr>
          <w:rFonts w:ascii="Times New Roman" w:hAnsi="Times New Roman"/>
          <w:snapToGrid/>
          <w:sz w:val="24"/>
          <w:szCs w:val="24"/>
        </w:rPr>
        <w:t>284</w:t>
      </w:r>
      <w:r w:rsidR="00B60DB6">
        <w:rPr>
          <w:rFonts w:ascii="Times New Roman" w:hAnsi="Times New Roman"/>
          <w:snapToGrid/>
          <w:sz w:val="24"/>
          <w:szCs w:val="24"/>
        </w:rPr>
        <w:t> </w:t>
      </w:r>
      <w:r w:rsidR="00261124">
        <w:rPr>
          <w:rFonts w:ascii="Times New Roman" w:hAnsi="Times New Roman"/>
          <w:snapToGrid/>
          <w:sz w:val="24"/>
          <w:szCs w:val="24"/>
        </w:rPr>
        <w:t>52</w:t>
      </w:r>
      <w:r w:rsidR="00B60DB6">
        <w:rPr>
          <w:rFonts w:ascii="Times New Roman" w:hAnsi="Times New Roman"/>
          <w:snapToGrid/>
          <w:sz w:val="24"/>
          <w:szCs w:val="24"/>
        </w:rPr>
        <w:t>4,00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</w:t>
      </w:r>
      <w:r w:rsidR="00B60DB6">
        <w:rPr>
          <w:rFonts w:ascii="Times New Roman" w:hAnsi="Times New Roman"/>
          <w:snapToGrid/>
          <w:sz w:val="24"/>
          <w:szCs w:val="24"/>
        </w:rPr>
        <w:t>я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4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Pr="00695866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color w:val="FF0000"/>
          <w:sz w:val="24"/>
          <w:szCs w:val="24"/>
        </w:rPr>
      </w:pPr>
      <w:r w:rsidRPr="00695866">
        <w:rPr>
          <w:rFonts w:ascii="Times New Roman" w:hAnsi="Times New Roman"/>
          <w:snapToGrid/>
          <w:color w:val="FF0000"/>
          <w:sz w:val="24"/>
          <w:szCs w:val="24"/>
        </w:rPr>
        <w:t>4. Утвердить нормативы распределения доходов на 20</w:t>
      </w:r>
      <w:r w:rsidR="00422BE3" w:rsidRPr="00695866">
        <w:rPr>
          <w:rFonts w:ascii="Times New Roman" w:hAnsi="Times New Roman"/>
          <w:snapToGrid/>
          <w:color w:val="FF0000"/>
          <w:sz w:val="24"/>
          <w:szCs w:val="24"/>
        </w:rPr>
        <w:t>2</w:t>
      </w:r>
      <w:r w:rsidR="00261124" w:rsidRPr="00695866">
        <w:rPr>
          <w:rFonts w:ascii="Times New Roman" w:hAnsi="Times New Roman"/>
          <w:snapToGrid/>
          <w:color w:val="FF0000"/>
          <w:sz w:val="24"/>
          <w:szCs w:val="24"/>
        </w:rPr>
        <w:t>1</w:t>
      </w:r>
      <w:r w:rsidR="00FF3E2F"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год и на плановый период 202</w:t>
      </w:r>
      <w:r w:rsidR="00261124" w:rsidRPr="00695866">
        <w:rPr>
          <w:rFonts w:ascii="Times New Roman" w:hAnsi="Times New Roman"/>
          <w:snapToGrid/>
          <w:color w:val="FF0000"/>
          <w:sz w:val="24"/>
          <w:szCs w:val="24"/>
        </w:rPr>
        <w:t>2</w:t>
      </w:r>
      <w:r w:rsidR="0072458E"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и 202</w:t>
      </w:r>
      <w:r w:rsidR="00261124" w:rsidRPr="00695866">
        <w:rPr>
          <w:rFonts w:ascii="Times New Roman" w:hAnsi="Times New Roman"/>
          <w:snapToGrid/>
          <w:color w:val="FF0000"/>
          <w:sz w:val="24"/>
          <w:szCs w:val="24"/>
        </w:rPr>
        <w:t>3</w:t>
      </w:r>
      <w:r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годов в </w:t>
      </w:r>
      <w:r w:rsidR="00422BE3" w:rsidRPr="00695866">
        <w:rPr>
          <w:rFonts w:ascii="Times New Roman" w:hAnsi="Times New Roman"/>
          <w:snapToGrid/>
          <w:color w:val="FF0000"/>
          <w:sz w:val="24"/>
          <w:szCs w:val="24"/>
        </w:rPr>
        <w:t>бюджет Жирятинского сельского поселения Жирятинского муниципального района Брянской области</w:t>
      </w:r>
      <w:r w:rsidR="00F06149"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="00350709" w:rsidRPr="00695866">
        <w:rPr>
          <w:rFonts w:ascii="Times New Roman" w:hAnsi="Times New Roman"/>
          <w:snapToGrid/>
          <w:color w:val="FF0000"/>
          <w:sz w:val="24"/>
          <w:szCs w:val="24"/>
        </w:rPr>
        <w:t>согласно П</w:t>
      </w:r>
      <w:r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риложению </w:t>
      </w:r>
      <w:proofErr w:type="gramStart"/>
      <w:r w:rsidR="0072458E" w:rsidRPr="00695866">
        <w:rPr>
          <w:rFonts w:ascii="Times New Roman" w:hAnsi="Times New Roman"/>
          <w:snapToGrid/>
          <w:color w:val="FF0000"/>
          <w:sz w:val="24"/>
          <w:szCs w:val="24"/>
        </w:rPr>
        <w:t>2</w:t>
      </w:r>
      <w:r w:rsidR="00483E9A"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</w:t>
      </w:r>
      <w:r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к</w:t>
      </w:r>
      <w:proofErr w:type="gramEnd"/>
      <w:r w:rsidRPr="00695866">
        <w:rPr>
          <w:rFonts w:ascii="Times New Roman" w:hAnsi="Times New Roman"/>
          <w:snapToGrid/>
          <w:color w:val="FF0000"/>
          <w:sz w:val="24"/>
          <w:szCs w:val="24"/>
        </w:rPr>
        <w:t xml:space="preserve">  настоящему Решению.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261124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61124">
        <w:rPr>
          <w:rFonts w:ascii="Times New Roman" w:hAnsi="Times New Roman"/>
          <w:snapToGrid/>
          <w:sz w:val="24"/>
          <w:szCs w:val="24"/>
        </w:rPr>
        <w:t>3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C649A8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DC1791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</w:t>
      </w:r>
      <w:r w:rsidR="00261124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261124">
        <w:rPr>
          <w:rFonts w:ascii="Times New Roman" w:hAnsi="Times New Roman"/>
          <w:snapToGrid/>
          <w:sz w:val="24"/>
          <w:szCs w:val="24"/>
        </w:rPr>
        <w:t>1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C1E97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422BE3" w:rsidRPr="00DC1791">
        <w:rPr>
          <w:rFonts w:ascii="Times New Roman" w:hAnsi="Times New Roman"/>
          <w:snapToGrid/>
          <w:sz w:val="24"/>
          <w:szCs w:val="24"/>
        </w:rPr>
        <w:lastRenderedPageBreak/>
        <w:t>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</w:p>
    <w:p w:rsidR="00087853" w:rsidRPr="00222569" w:rsidRDefault="00087853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6 </w:t>
      </w:r>
      <w:r w:rsidRPr="00222569"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 w:rsidRPr="00222569">
        <w:rPr>
          <w:rFonts w:ascii="Times New Roman" w:hAnsi="Times New Roman"/>
          <w:snapToGrid/>
          <w:sz w:val="24"/>
          <w:szCs w:val="24"/>
        </w:rPr>
        <w:t xml:space="preserve">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147F08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B25AF0">
        <w:rPr>
          <w:rFonts w:ascii="Times New Roman" w:hAnsi="Times New Roman"/>
          <w:snapToGrid/>
          <w:sz w:val="24"/>
          <w:szCs w:val="24"/>
        </w:rPr>
        <w:t>3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FB19FD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B25AF0">
        <w:rPr>
          <w:rFonts w:ascii="Times New Roman" w:hAnsi="Times New Roman"/>
          <w:snapToGrid/>
          <w:sz w:val="24"/>
          <w:szCs w:val="24"/>
        </w:rPr>
        <w:t>1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</w:t>
      </w:r>
      <w:r w:rsidR="00B25AF0">
        <w:rPr>
          <w:rFonts w:ascii="Times New Roman" w:hAnsi="Times New Roman"/>
          <w:snapToGrid/>
          <w:sz w:val="24"/>
          <w:szCs w:val="24"/>
        </w:rPr>
        <w:t>2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</w:t>
      </w:r>
      <w:r w:rsidR="003D7D47" w:rsidRPr="00FB19FD">
        <w:rPr>
          <w:rFonts w:ascii="Times New Roman" w:hAnsi="Times New Roman"/>
          <w:snapToGrid/>
          <w:sz w:val="24"/>
          <w:szCs w:val="24"/>
        </w:rPr>
        <w:t>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3D7D47" w:rsidRPr="00FB19FD">
        <w:rPr>
          <w:rFonts w:ascii="Times New Roman" w:hAnsi="Times New Roman"/>
          <w:snapToGrid/>
          <w:sz w:val="24"/>
          <w:szCs w:val="24"/>
        </w:rPr>
        <w:t>, и на 202</w:t>
      </w:r>
      <w:r w:rsidR="00B25AF0" w:rsidRPr="00FB19FD">
        <w:rPr>
          <w:rFonts w:ascii="Times New Roman" w:hAnsi="Times New Roman"/>
          <w:snapToGrid/>
          <w:sz w:val="24"/>
          <w:szCs w:val="24"/>
        </w:rPr>
        <w:t>3</w:t>
      </w:r>
      <w:r w:rsidR="00A82290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FB19FD">
        <w:rPr>
          <w:rFonts w:ascii="Times New Roman" w:hAnsi="Times New Roman"/>
          <w:snapToGrid/>
          <w:sz w:val="24"/>
          <w:szCs w:val="24"/>
        </w:rPr>
        <w:t>0</w:t>
      </w:r>
      <w:r w:rsidR="003D7D47" w:rsidRPr="00FB19FD">
        <w:rPr>
          <w:rFonts w:ascii="Times New Roman" w:hAnsi="Times New Roman"/>
          <w:snapToGrid/>
          <w:sz w:val="24"/>
          <w:szCs w:val="24"/>
        </w:rPr>
        <w:t>,00</w:t>
      </w:r>
      <w:r w:rsidR="00DA2B62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FB19FD">
        <w:rPr>
          <w:rFonts w:ascii="Times New Roman" w:hAnsi="Times New Roman"/>
          <w:snapToGrid/>
          <w:sz w:val="24"/>
          <w:szCs w:val="24"/>
        </w:rPr>
        <w:t>руб</w:t>
      </w:r>
      <w:r w:rsidR="00E449D0" w:rsidRPr="00FB19FD">
        <w:rPr>
          <w:rFonts w:ascii="Times New Roman" w:hAnsi="Times New Roman"/>
          <w:snapToGrid/>
          <w:sz w:val="24"/>
          <w:szCs w:val="24"/>
        </w:rPr>
        <w:t>л</w:t>
      </w:r>
      <w:r w:rsidR="005D7D54" w:rsidRPr="00FB19FD">
        <w:rPr>
          <w:rFonts w:ascii="Times New Roman" w:hAnsi="Times New Roman"/>
          <w:snapToGrid/>
          <w:sz w:val="24"/>
          <w:szCs w:val="24"/>
        </w:rPr>
        <w:t>ей</w:t>
      </w:r>
      <w:r w:rsidR="00A82290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FB19FD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FB19FD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</w:t>
      </w:r>
      <w:r w:rsidR="0022086D" w:rsidRPr="00FB19FD">
        <w:rPr>
          <w:rFonts w:ascii="Times New Roman" w:hAnsi="Times New Roman"/>
          <w:snapToGrid/>
          <w:sz w:val="24"/>
          <w:szCs w:val="24"/>
        </w:rPr>
        <w:t>2</w:t>
      </w:r>
      <w:r w:rsidR="00B25AF0" w:rsidRPr="00FB19FD">
        <w:rPr>
          <w:rFonts w:ascii="Times New Roman" w:hAnsi="Times New Roman"/>
          <w:snapToGrid/>
          <w:sz w:val="24"/>
          <w:szCs w:val="24"/>
        </w:rPr>
        <w:t>1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71DC6">
        <w:rPr>
          <w:rFonts w:ascii="Times New Roman" w:hAnsi="Times New Roman"/>
          <w:snapToGrid/>
          <w:sz w:val="24"/>
          <w:szCs w:val="24"/>
        </w:rPr>
        <w:t>11 725 024,91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я, 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2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FB19FD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FB19FD" w:rsidRPr="00FB19FD">
        <w:rPr>
          <w:rFonts w:ascii="Times New Roman" w:hAnsi="Times New Roman"/>
          <w:snapToGrid/>
          <w:sz w:val="24"/>
          <w:szCs w:val="24"/>
        </w:rPr>
        <w:t>9 797 320,56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FB19FD">
        <w:rPr>
          <w:rFonts w:ascii="Times New Roman" w:hAnsi="Times New Roman"/>
          <w:snapToGrid/>
          <w:sz w:val="24"/>
          <w:szCs w:val="24"/>
        </w:rPr>
        <w:t>я</w:t>
      </w:r>
      <w:r w:rsidR="003D7D47" w:rsidRPr="00FB19FD">
        <w:rPr>
          <w:rFonts w:ascii="Times New Roman" w:hAnsi="Times New Roman"/>
          <w:snapToGrid/>
          <w:sz w:val="24"/>
          <w:szCs w:val="24"/>
        </w:rPr>
        <w:t>,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FB19FD">
        <w:rPr>
          <w:rFonts w:ascii="Times New Roman" w:hAnsi="Times New Roman"/>
          <w:snapToGrid/>
          <w:sz w:val="24"/>
          <w:szCs w:val="24"/>
        </w:rPr>
        <w:t>на 202</w:t>
      </w:r>
      <w:r w:rsidR="00FB19FD" w:rsidRPr="00FB19FD">
        <w:rPr>
          <w:rFonts w:ascii="Times New Roman" w:hAnsi="Times New Roman"/>
          <w:snapToGrid/>
          <w:sz w:val="24"/>
          <w:szCs w:val="24"/>
        </w:rPr>
        <w:t>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B19FD" w:rsidRPr="00FB19FD">
        <w:rPr>
          <w:rFonts w:ascii="Times New Roman" w:hAnsi="Times New Roman"/>
          <w:snapToGrid/>
          <w:sz w:val="24"/>
          <w:szCs w:val="24"/>
        </w:rPr>
        <w:t>12 887</w:t>
      </w:r>
      <w:r w:rsidR="00C649A8">
        <w:rPr>
          <w:rFonts w:ascii="Times New Roman" w:hAnsi="Times New Roman"/>
          <w:snapToGrid/>
          <w:sz w:val="24"/>
          <w:szCs w:val="24"/>
        </w:rPr>
        <w:t> 955,03</w:t>
      </w:r>
      <w:r w:rsidR="008764A3" w:rsidRPr="00FB19FD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FB19FD">
        <w:rPr>
          <w:rFonts w:ascii="Times New Roman" w:hAnsi="Times New Roman"/>
          <w:snapToGrid/>
          <w:sz w:val="24"/>
          <w:szCs w:val="24"/>
        </w:rPr>
        <w:t>я</w:t>
      </w:r>
      <w:r w:rsidR="008764A3" w:rsidRPr="00FB19FD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A910C3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A910C3">
        <w:rPr>
          <w:rFonts w:ascii="Times New Roman" w:hAnsi="Times New Roman"/>
          <w:snapToGrid/>
          <w:sz w:val="24"/>
          <w:szCs w:val="24"/>
        </w:rPr>
        <w:t>1</w:t>
      </w:r>
      <w:r w:rsidR="008764A3" w:rsidRPr="00A910C3">
        <w:rPr>
          <w:rFonts w:ascii="Times New Roman" w:hAnsi="Times New Roman"/>
          <w:snapToGrid/>
          <w:sz w:val="24"/>
          <w:szCs w:val="24"/>
        </w:rPr>
        <w:t>4</w:t>
      </w:r>
      <w:r w:rsidR="00146F9C" w:rsidRPr="00A910C3">
        <w:rPr>
          <w:rFonts w:ascii="Times New Roman" w:hAnsi="Times New Roman"/>
          <w:snapToGrid/>
          <w:sz w:val="24"/>
          <w:szCs w:val="24"/>
        </w:rPr>
        <w:t>.</w:t>
      </w:r>
      <w:r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A910C3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A910C3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672665" w:rsidRPr="00A910C3">
        <w:rPr>
          <w:rFonts w:ascii="Times New Roman" w:hAnsi="Times New Roman"/>
          <w:snapToGrid/>
          <w:sz w:val="24"/>
          <w:szCs w:val="24"/>
        </w:rPr>
        <w:t>на 20</w:t>
      </w:r>
      <w:r w:rsidR="0022086D" w:rsidRPr="00A910C3">
        <w:rPr>
          <w:rFonts w:ascii="Times New Roman" w:hAnsi="Times New Roman"/>
          <w:snapToGrid/>
          <w:sz w:val="24"/>
          <w:szCs w:val="24"/>
        </w:rPr>
        <w:t>2</w:t>
      </w:r>
      <w:r w:rsidR="00A910C3" w:rsidRPr="00A910C3">
        <w:rPr>
          <w:rFonts w:ascii="Times New Roman" w:hAnsi="Times New Roman"/>
          <w:snapToGrid/>
          <w:sz w:val="24"/>
          <w:szCs w:val="24"/>
        </w:rPr>
        <w:t>1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 w:rsidRPr="00A910C3">
        <w:rPr>
          <w:rFonts w:ascii="Times New Roman" w:hAnsi="Times New Roman"/>
          <w:snapToGrid/>
          <w:sz w:val="24"/>
          <w:szCs w:val="24"/>
        </w:rPr>
        <w:t xml:space="preserve">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3 999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109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A910C3">
        <w:rPr>
          <w:rFonts w:ascii="Times New Roman" w:hAnsi="Times New Roman"/>
          <w:snapToGrid/>
          <w:sz w:val="24"/>
          <w:szCs w:val="24"/>
        </w:rPr>
        <w:t>ей</w:t>
      </w:r>
      <w:r w:rsidR="00D07169" w:rsidRPr="00A910C3">
        <w:rPr>
          <w:rFonts w:ascii="Times New Roman" w:hAnsi="Times New Roman"/>
          <w:snapToGrid/>
          <w:sz w:val="24"/>
          <w:szCs w:val="24"/>
        </w:rPr>
        <w:t>, на 202</w:t>
      </w:r>
      <w:r w:rsidR="00C649A8">
        <w:rPr>
          <w:rFonts w:ascii="Times New Roman" w:hAnsi="Times New Roman"/>
          <w:snapToGrid/>
          <w:sz w:val="24"/>
          <w:szCs w:val="24"/>
        </w:rPr>
        <w:t>2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4 032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743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649A8">
        <w:rPr>
          <w:rFonts w:ascii="Times New Roman" w:hAnsi="Times New Roman"/>
          <w:snapToGrid/>
          <w:sz w:val="24"/>
          <w:szCs w:val="24"/>
        </w:rPr>
        <w:t>я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A910C3">
        <w:rPr>
          <w:rFonts w:ascii="Times New Roman" w:hAnsi="Times New Roman"/>
          <w:snapToGrid/>
          <w:sz w:val="24"/>
          <w:szCs w:val="24"/>
        </w:rPr>
        <w:t>и на 202</w:t>
      </w:r>
      <w:r w:rsidR="00A910C3" w:rsidRPr="00A910C3">
        <w:rPr>
          <w:rFonts w:ascii="Times New Roman" w:hAnsi="Times New Roman"/>
          <w:snapToGrid/>
          <w:sz w:val="24"/>
          <w:szCs w:val="24"/>
        </w:rPr>
        <w:t>3</w:t>
      </w:r>
      <w:r w:rsidR="00672665" w:rsidRPr="00A910C3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C649A8">
        <w:rPr>
          <w:rFonts w:ascii="Times New Roman" w:hAnsi="Times New Roman"/>
          <w:snapToGrid/>
          <w:sz w:val="24"/>
          <w:szCs w:val="24"/>
        </w:rPr>
        <w:t xml:space="preserve">               </w:t>
      </w:r>
      <w:r w:rsidR="00A910C3" w:rsidRPr="00A910C3">
        <w:rPr>
          <w:rFonts w:ascii="Times New Roman" w:hAnsi="Times New Roman"/>
          <w:snapToGrid/>
          <w:sz w:val="24"/>
          <w:szCs w:val="24"/>
        </w:rPr>
        <w:t>4 073</w:t>
      </w:r>
      <w:r w:rsidR="00C649A8">
        <w:rPr>
          <w:rFonts w:ascii="Times New Roman" w:hAnsi="Times New Roman"/>
          <w:snapToGrid/>
          <w:sz w:val="24"/>
          <w:szCs w:val="24"/>
        </w:rPr>
        <w:t> </w:t>
      </w:r>
      <w:r w:rsidR="00A910C3" w:rsidRPr="00A910C3">
        <w:rPr>
          <w:rFonts w:ascii="Times New Roman" w:hAnsi="Times New Roman"/>
          <w:snapToGrid/>
          <w:sz w:val="24"/>
          <w:szCs w:val="24"/>
        </w:rPr>
        <w:t>886</w:t>
      </w:r>
      <w:r w:rsidR="00C649A8">
        <w:rPr>
          <w:rFonts w:ascii="Times New Roman" w:hAnsi="Times New Roman"/>
          <w:snapToGrid/>
          <w:sz w:val="24"/>
          <w:szCs w:val="24"/>
        </w:rPr>
        <w:t>,00</w:t>
      </w:r>
      <w:r w:rsidR="00DD28B0" w:rsidRPr="00A910C3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A910C3" w:rsidRPr="00A910C3">
        <w:rPr>
          <w:rFonts w:ascii="Times New Roman" w:hAnsi="Times New Roman"/>
          <w:snapToGrid/>
          <w:sz w:val="24"/>
          <w:szCs w:val="24"/>
        </w:rPr>
        <w:t>ей</w:t>
      </w:r>
      <w:r w:rsidR="00672665" w:rsidRPr="00A910C3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DC1791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366920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366920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4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lastRenderedPageBreak/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467905" w:rsidRPr="00DC1791" w:rsidRDefault="00C90FC9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в течение 45 дней после наступления отчетной даты в соответствии со структурой, применяемой при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366920">
        <w:rPr>
          <w:rFonts w:ascii="Times New Roman" w:hAnsi="Times New Roman"/>
          <w:snapToGrid/>
          <w:sz w:val="24"/>
          <w:szCs w:val="24"/>
        </w:rPr>
        <w:t>1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B970FB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7B3355">
      <w:pgSz w:w="11906" w:h="16838"/>
      <w:pgMar w:top="54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796D"/>
    <w:rsid w:val="00064072"/>
    <w:rsid w:val="0008331F"/>
    <w:rsid w:val="0008378B"/>
    <w:rsid w:val="00087853"/>
    <w:rsid w:val="000A075B"/>
    <w:rsid w:val="000C1E97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61124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66920"/>
    <w:rsid w:val="00383160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5784E"/>
    <w:rsid w:val="00562745"/>
    <w:rsid w:val="00566EDA"/>
    <w:rsid w:val="005670DF"/>
    <w:rsid w:val="00574A5D"/>
    <w:rsid w:val="00577F05"/>
    <w:rsid w:val="005B49BF"/>
    <w:rsid w:val="005C3E48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95866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CE3"/>
    <w:rsid w:val="00761EF1"/>
    <w:rsid w:val="007A4659"/>
    <w:rsid w:val="007A58A4"/>
    <w:rsid w:val="007B253E"/>
    <w:rsid w:val="007B3355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6522E"/>
    <w:rsid w:val="008764A3"/>
    <w:rsid w:val="00877067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45A1"/>
    <w:rsid w:val="009A648B"/>
    <w:rsid w:val="009B4B49"/>
    <w:rsid w:val="009D2F30"/>
    <w:rsid w:val="009F50F7"/>
    <w:rsid w:val="009F7B6B"/>
    <w:rsid w:val="00A02D44"/>
    <w:rsid w:val="00A040F3"/>
    <w:rsid w:val="00A06DF7"/>
    <w:rsid w:val="00A10D82"/>
    <w:rsid w:val="00A13B46"/>
    <w:rsid w:val="00A217E9"/>
    <w:rsid w:val="00A243B1"/>
    <w:rsid w:val="00A301F5"/>
    <w:rsid w:val="00A76941"/>
    <w:rsid w:val="00A82290"/>
    <w:rsid w:val="00A910C3"/>
    <w:rsid w:val="00AA7278"/>
    <w:rsid w:val="00AC5151"/>
    <w:rsid w:val="00AC78D9"/>
    <w:rsid w:val="00B051C2"/>
    <w:rsid w:val="00B21BFB"/>
    <w:rsid w:val="00B25AF0"/>
    <w:rsid w:val="00B3201B"/>
    <w:rsid w:val="00B37D86"/>
    <w:rsid w:val="00B50D20"/>
    <w:rsid w:val="00B54B66"/>
    <w:rsid w:val="00B60DB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C064E6"/>
    <w:rsid w:val="00C14091"/>
    <w:rsid w:val="00C301CE"/>
    <w:rsid w:val="00C3452D"/>
    <w:rsid w:val="00C37436"/>
    <w:rsid w:val="00C44B33"/>
    <w:rsid w:val="00C44C02"/>
    <w:rsid w:val="00C4678D"/>
    <w:rsid w:val="00C649A8"/>
    <w:rsid w:val="00C90FC9"/>
    <w:rsid w:val="00CA5FBA"/>
    <w:rsid w:val="00CB4DB0"/>
    <w:rsid w:val="00CC24DB"/>
    <w:rsid w:val="00CD61F4"/>
    <w:rsid w:val="00CE111A"/>
    <w:rsid w:val="00CE2CAD"/>
    <w:rsid w:val="00CE5BFC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DC6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19FD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7DB41-8484-42E8-A227-6318107B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6719-0B90-4FE9-83F5-BE46C15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2021-04-14T07:50:00Z</cp:lastPrinted>
  <dcterms:created xsi:type="dcterms:W3CDTF">2021-06-15T14:09:00Z</dcterms:created>
  <dcterms:modified xsi:type="dcterms:W3CDTF">2021-06-15T14:09:00Z</dcterms:modified>
</cp:coreProperties>
</file>