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874" w14:textId="77777777" w:rsidR="00BC4A52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978B632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6F25DA6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AFFA011" w14:textId="77777777" w:rsidR="00A31E86" w:rsidRPr="002C420B" w:rsidRDefault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14:paraId="4BAC8245" w14:textId="77777777" w:rsidR="00BC4A52" w:rsidRPr="002C420B" w:rsidRDefault="009F11DB" w:rsidP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20B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A52" w:rsidRPr="002C420B">
        <w:rPr>
          <w:rFonts w:ascii="Times New Roman" w:hAnsi="Times New Roman" w:cs="Times New Roman"/>
          <w:sz w:val="24"/>
          <w:szCs w:val="24"/>
        </w:rPr>
        <w:t xml:space="preserve">от </w:t>
      </w:r>
      <w:r w:rsidR="00820B56">
        <w:rPr>
          <w:rFonts w:ascii="Times New Roman" w:hAnsi="Times New Roman" w:cs="Times New Roman"/>
          <w:sz w:val="24"/>
          <w:szCs w:val="24"/>
        </w:rPr>
        <w:t xml:space="preserve">  19.09.</w:t>
      </w:r>
      <w:r w:rsidR="00AB1A58">
        <w:rPr>
          <w:rFonts w:ascii="Times New Roman" w:hAnsi="Times New Roman" w:cs="Times New Roman"/>
          <w:sz w:val="24"/>
          <w:szCs w:val="24"/>
        </w:rPr>
        <w:t xml:space="preserve"> 2023</w:t>
      </w:r>
      <w:r w:rsidR="006C0B22">
        <w:rPr>
          <w:rFonts w:ascii="Times New Roman" w:hAnsi="Times New Roman" w:cs="Times New Roman"/>
          <w:sz w:val="24"/>
          <w:szCs w:val="24"/>
        </w:rPr>
        <w:t>г.</w:t>
      </w:r>
      <w:r w:rsidR="00BC4A52" w:rsidRPr="002C420B">
        <w:rPr>
          <w:rFonts w:ascii="Times New Roman" w:hAnsi="Times New Roman" w:cs="Times New Roman"/>
          <w:sz w:val="24"/>
          <w:szCs w:val="24"/>
        </w:rPr>
        <w:t xml:space="preserve"> N</w:t>
      </w:r>
      <w:r w:rsidR="00820B56">
        <w:rPr>
          <w:rFonts w:ascii="Times New Roman" w:hAnsi="Times New Roman" w:cs="Times New Roman"/>
          <w:sz w:val="24"/>
          <w:szCs w:val="24"/>
        </w:rPr>
        <w:t>254</w:t>
      </w:r>
    </w:p>
    <w:p w14:paraId="340E5F98" w14:textId="77777777" w:rsidR="00A31E86" w:rsidRPr="002C420B" w:rsidRDefault="00A31E86" w:rsidP="00A31E8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6760B7C" w14:textId="77777777" w:rsidR="00A31E86" w:rsidRPr="002C420B" w:rsidRDefault="00A31E86" w:rsidP="00A31E86">
      <w:pPr>
        <w:pStyle w:val="ConsNormal"/>
        <w:widowControl/>
        <w:ind w:firstLine="0"/>
        <w:jc w:val="right"/>
        <w:rPr>
          <w:sz w:val="24"/>
          <w:szCs w:val="24"/>
        </w:rPr>
      </w:pPr>
    </w:p>
    <w:p w14:paraId="19A34F8B" w14:textId="77777777" w:rsidR="006C2856" w:rsidRPr="00AB1A58" w:rsidRDefault="00BC4A5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A58">
        <w:rPr>
          <w:rFonts w:ascii="Times New Roman" w:hAnsi="Times New Roman" w:cs="Times New Roman"/>
          <w:sz w:val="28"/>
          <w:szCs w:val="28"/>
        </w:rPr>
        <w:t xml:space="preserve"> </w:t>
      </w:r>
      <w:r w:rsidR="00BF6B30" w:rsidRPr="00AB1A58">
        <w:rPr>
          <w:rFonts w:ascii="Times New Roman" w:hAnsi="Times New Roman" w:cs="Times New Roman"/>
          <w:b w:val="0"/>
          <w:sz w:val="28"/>
          <w:szCs w:val="28"/>
        </w:rPr>
        <w:t>ПОРЯДК</w:t>
      </w:r>
    </w:p>
    <w:p w14:paraId="292F4384" w14:textId="77777777" w:rsidR="00CB59BF" w:rsidRDefault="00BF6B3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F34" w:rsidRPr="00AB1A58">
        <w:rPr>
          <w:rFonts w:ascii="Times New Roman" w:hAnsi="Times New Roman" w:cs="Times New Roman"/>
          <w:b w:val="0"/>
          <w:sz w:val="28"/>
          <w:szCs w:val="28"/>
        </w:rPr>
        <w:t xml:space="preserve">ведения муниципальной долговой книги </w:t>
      </w:r>
    </w:p>
    <w:p w14:paraId="153DE563" w14:textId="77777777" w:rsidR="0089448C" w:rsidRPr="00CB59BF" w:rsidRDefault="00881F3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9BF">
        <w:rPr>
          <w:rFonts w:ascii="Times New Roman" w:hAnsi="Times New Roman" w:cs="Times New Roman"/>
          <w:b w:val="0"/>
          <w:sz w:val="28"/>
          <w:szCs w:val="28"/>
        </w:rPr>
        <w:t xml:space="preserve">Жирятинского </w:t>
      </w:r>
      <w:r w:rsidR="00CB59BF" w:rsidRPr="00CB59B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B59BF" w:rsidRPr="00CB59BF">
        <w:rPr>
          <w:b w:val="0"/>
        </w:rPr>
        <w:t xml:space="preserve"> </w:t>
      </w:r>
      <w:r w:rsidRPr="00CB59BF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14:paraId="0295D6EB" w14:textId="77777777" w:rsidR="00BC4A52" w:rsidRPr="00AB1A58" w:rsidRDefault="00BC4A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962A194" w14:textId="77777777" w:rsidR="00BC4A52" w:rsidRDefault="004D68D2" w:rsidP="004D6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A58">
        <w:rPr>
          <w:sz w:val="28"/>
          <w:szCs w:val="28"/>
        </w:rPr>
        <w:t xml:space="preserve"> Настоящий Порядок (далее - Порядок) разработан в соответствии со </w:t>
      </w:r>
      <w:hyperlink r:id="rId7" w:history="1">
        <w:r w:rsidRPr="00AB1A58">
          <w:rPr>
            <w:sz w:val="28"/>
            <w:szCs w:val="28"/>
          </w:rPr>
          <w:t>статьями 120</w:t>
        </w:r>
      </w:hyperlink>
      <w:r w:rsidRPr="00AB1A58">
        <w:rPr>
          <w:sz w:val="28"/>
          <w:szCs w:val="28"/>
        </w:rPr>
        <w:t xml:space="preserve"> и </w:t>
      </w:r>
      <w:hyperlink r:id="rId8" w:history="1">
        <w:r w:rsidRPr="00AB1A58">
          <w:rPr>
            <w:sz w:val="28"/>
            <w:szCs w:val="28"/>
          </w:rPr>
          <w:t>121</w:t>
        </w:r>
      </w:hyperlink>
      <w:r w:rsidRPr="00AB1A58">
        <w:rPr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 долговой книги </w:t>
      </w:r>
      <w:r w:rsidRPr="00CB59BF">
        <w:rPr>
          <w:sz w:val="28"/>
          <w:szCs w:val="28"/>
        </w:rPr>
        <w:t xml:space="preserve">Жирятинского </w:t>
      </w:r>
      <w:r w:rsidR="00CB59BF" w:rsidRPr="00CB59BF">
        <w:rPr>
          <w:sz w:val="28"/>
          <w:szCs w:val="28"/>
        </w:rPr>
        <w:t xml:space="preserve">муниципального </w:t>
      </w:r>
      <w:r w:rsidRPr="00CB59BF">
        <w:rPr>
          <w:sz w:val="28"/>
          <w:szCs w:val="28"/>
        </w:rPr>
        <w:t>района</w:t>
      </w:r>
      <w:r w:rsidRPr="00AB1A58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и форме Долговой книги, а также по порядку ведения Долговой книги.</w:t>
      </w:r>
    </w:p>
    <w:p w14:paraId="67DD8B0C" w14:textId="77777777" w:rsidR="00AB1A58" w:rsidRPr="00AB1A58" w:rsidRDefault="00AB1A58" w:rsidP="004D6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92C4BD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I. Порядок ведения долговой книги</w:t>
      </w:r>
    </w:p>
    <w:p w14:paraId="7367247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ED87F" w14:textId="77777777" w:rsidR="00273737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1. Ведение Долговой книги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несет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сохранность, своевременность, полноту и правильность ведения долговой книги. Ведение долговой книги закрепляется за сотрудником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2.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Долговая книга представляет собой систематизированный свод информации о долговых обязательствах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F4764D" w14:textId="77777777" w:rsidR="00273737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    Структура и форма ведения Долговой книги представлена в приложении 1 к настоящему Порядку.</w:t>
      </w:r>
    </w:p>
    <w:p w14:paraId="746B2C9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Долговая книга состоит из пяти разделов:</w:t>
      </w:r>
    </w:p>
    <w:p w14:paraId="4E9B1ED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-кредитные соглашения/договоры от кредитных организаций, заключенные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образования- Жирятинский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муниципальный</w:t>
      </w:r>
      <w:r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FABA3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раздел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–  муниципальные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ценные бумаги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</w:t>
      </w:r>
      <w:r w:rsidR="00CB59BF">
        <w:rPr>
          <w:rFonts w:ascii="Times New Roman" w:hAnsi="Times New Roman" w:cs="Times New Roman"/>
          <w:sz w:val="28"/>
          <w:szCs w:val="28"/>
        </w:rPr>
        <w:t>ого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63B2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 муниципальные гарантии и договоры о предоставлении муниципальных гарантий </w:t>
      </w:r>
      <w:r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D80DF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- договоры и соглашения о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Жирятинским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муниципальны</w:t>
      </w:r>
      <w:r w:rsidR="00CB59BF">
        <w:rPr>
          <w:rFonts w:ascii="Times New Roman" w:hAnsi="Times New Roman" w:cs="Times New Roman"/>
          <w:sz w:val="28"/>
          <w:szCs w:val="28"/>
        </w:rPr>
        <w:t>м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районом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кредитов от бюджетов других уровней бюджетной системы Российской Федерации;</w:t>
      </w:r>
    </w:p>
    <w:p w14:paraId="6E9CFC3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раздел - итоговые значения долговых обязательств</w:t>
      </w:r>
      <w:r w:rsidR="000F73F7">
        <w:rPr>
          <w:rFonts w:ascii="Times New Roman" w:hAnsi="Times New Roman" w:cs="Times New Roman"/>
          <w:color w:val="000000"/>
          <w:sz w:val="28"/>
          <w:szCs w:val="28"/>
        </w:rPr>
        <w:t xml:space="preserve"> 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0F73F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(по разделам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I – IV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помесячно).</w:t>
      </w:r>
    </w:p>
    <w:p w14:paraId="1785E13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DDD3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Долговая книга содержит сведения:</w:t>
      </w:r>
    </w:p>
    <w:p w14:paraId="42BC3F7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C038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раздел.  По кредитам, полученным </w:t>
      </w:r>
      <w:r w:rsidR="00DA7358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Жирятинским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муниципальны</w:t>
      </w:r>
      <w:r w:rsidR="00CB59BF">
        <w:rPr>
          <w:rFonts w:ascii="Times New Roman" w:hAnsi="Times New Roman" w:cs="Times New Roman"/>
          <w:sz w:val="28"/>
          <w:szCs w:val="28"/>
        </w:rPr>
        <w:t>м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358">
        <w:rPr>
          <w:rFonts w:ascii="Times New Roman" w:hAnsi="Times New Roman" w:cs="Times New Roman"/>
          <w:color w:val="000000"/>
          <w:sz w:val="28"/>
          <w:szCs w:val="28"/>
        </w:rPr>
        <w:t>районом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от кредитных организаций:</w:t>
      </w:r>
    </w:p>
    <w:p w14:paraId="757F8A6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38EDC57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 и наименование кредитора;</w:t>
      </w:r>
    </w:p>
    <w:p w14:paraId="14BD790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обязательства:</w:t>
      </w:r>
    </w:p>
    <w:p w14:paraId="43D861E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основание возникновения долгового обязательства (нормативный правовой акт городского округа и др.);</w:t>
      </w:r>
    </w:p>
    <w:p w14:paraId="5F3181E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(соглашения);</w:t>
      </w:r>
    </w:p>
    <w:p w14:paraId="0951A60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1C5C3BD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19701E9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источники обеспечения обязательства (залог, поручительство, банковская гарантия, статья расходов бюджета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 муниципального района Брянской области и д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р.);</w:t>
      </w:r>
    </w:p>
    <w:p w14:paraId="7D515F6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 по кредиту;</w:t>
      </w:r>
    </w:p>
    <w:p w14:paraId="35C55A7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изменении долгового обязательства путем привлечения и погашения кредита;</w:t>
      </w:r>
    </w:p>
    <w:p w14:paraId="6F2B761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(задолженность) на 1-е число месяца, следующего за отчетным;</w:t>
      </w:r>
    </w:p>
    <w:p w14:paraId="715E56C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 расходах на обслуживание долгового обязательства.</w:t>
      </w:r>
    </w:p>
    <w:p w14:paraId="4B33E50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20E674E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 иных сведениях, раскрывающих условия предоставления и погашения кредита.</w:t>
      </w:r>
    </w:p>
    <w:p w14:paraId="441F3AE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27A5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II раздел. По муниципальным ценным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</w:t>
      </w:r>
      <w:r w:rsidR="00CB59BF">
        <w:rPr>
          <w:rFonts w:ascii="Times New Roman" w:hAnsi="Times New Roman" w:cs="Times New Roman"/>
          <w:sz w:val="28"/>
          <w:szCs w:val="28"/>
        </w:rPr>
        <w:t>ого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выпуск ценных бумаг), об основных параметрах каждого выпуска ценных бумаг:</w:t>
      </w:r>
    </w:p>
    <w:p w14:paraId="2EBD3D9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2CEFC03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регистрационный номер выпуска ценных бумаг;</w:t>
      </w:r>
    </w:p>
    <w:p w14:paraId="04ADBDF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ценной бумаги;</w:t>
      </w:r>
    </w:p>
    <w:p w14:paraId="185DB19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форма выпуска ценной бумаги:</w:t>
      </w:r>
    </w:p>
    <w:p w14:paraId="5D72567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регистрационный номер Условий эмиссии;</w:t>
      </w:r>
    </w:p>
    <w:p w14:paraId="066C6CC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муниципальной регистрации Условий эмиссии (изменений в Условия эмиссии);</w:t>
      </w:r>
    </w:p>
    <w:p w14:paraId="0894C0D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акта;</w:t>
      </w:r>
    </w:p>
    <w:p w14:paraId="4DB6CFB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валюта обязательства;</w:t>
      </w:r>
    </w:p>
    <w:p w14:paraId="794AC67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номинальная стоимость одной ценной бумаги;</w:t>
      </w:r>
    </w:p>
    <w:p w14:paraId="44ACA52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ограничения на владельцев ценных бумаг, предусмотренные Условиями эмиссии;</w:t>
      </w:r>
    </w:p>
    <w:p w14:paraId="2E48FF5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генерального агента;</w:t>
      </w:r>
    </w:p>
    <w:p w14:paraId="4177B61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депозитария или регистратора;</w:t>
      </w:r>
    </w:p>
    <w:p w14:paraId="28909CB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организатора торговли;</w:t>
      </w:r>
    </w:p>
    <w:p w14:paraId="4ED9F47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объявленный объём выпуска (дополнительного выпуска) ценных бумаг по номинальной стоимости;</w:t>
      </w:r>
    </w:p>
    <w:p w14:paraId="1A83A7F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размещения (доразмещения) ценных бумаг;</w:t>
      </w:r>
    </w:p>
    <w:p w14:paraId="47CE529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размещения ценных бумаг (по номинальной стоимости);</w:t>
      </w:r>
    </w:p>
    <w:p w14:paraId="514351B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установленная дата выплаты купонного дохода по каждому купонному периоду;</w:t>
      </w:r>
    </w:p>
    <w:p w14:paraId="1EA35BD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процентная ставка купонного дохода;</w:t>
      </w:r>
    </w:p>
    <w:p w14:paraId="7C06DF9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купонного дохода, подлежащая выплате;</w:t>
      </w:r>
    </w:p>
    <w:p w14:paraId="2EBD265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фактическая дата выплаты купонного дохода;</w:t>
      </w:r>
    </w:p>
    <w:p w14:paraId="2975646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выплаченная сумма купонного дохода;</w:t>
      </w:r>
    </w:p>
    <w:p w14:paraId="17987F4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дисконта, определенная при размещении;</w:t>
      </w:r>
    </w:p>
    <w:p w14:paraId="5056CC4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дисконта при погашении (выкупе) ценных бумаг;</w:t>
      </w:r>
    </w:p>
    <w:p w14:paraId="2CE7E70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дата выкупа ценных бумаг;</w:t>
      </w:r>
    </w:p>
    <w:p w14:paraId="579707E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выкупа ценных бумаг по номинальной стоимости;</w:t>
      </w:r>
    </w:p>
    <w:p w14:paraId="5818101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установленная дата погашения ценных бумаг;</w:t>
      </w:r>
    </w:p>
    <w:p w14:paraId="2E2F6D3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сумма номинальной стоимости ценных бумаг, подлежащая выплате в</w:t>
      </w:r>
    </w:p>
    <w:p w14:paraId="6C7DF62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установленные даты;</w:t>
      </w:r>
    </w:p>
    <w:p w14:paraId="3758225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фактическая дата погашения ценных бумаг;</w:t>
      </w:r>
    </w:p>
    <w:p w14:paraId="4B2A08B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фактический объём погашения ценных бумаг;</w:t>
      </w:r>
    </w:p>
    <w:p w14:paraId="269C6B2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номинальная сумма долга по муниципальным ценным бумагам.</w:t>
      </w:r>
    </w:p>
    <w:p w14:paraId="59C6C25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III  раздел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. По муниципальным гарантиям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1AF01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обязательства:</w:t>
      </w:r>
    </w:p>
    <w:p w14:paraId="597912F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обязательства, наименование принципала, бенефициара;</w:t>
      </w:r>
    </w:p>
    <w:p w14:paraId="14DA916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обязательства;</w:t>
      </w:r>
    </w:p>
    <w:p w14:paraId="20093BA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основание возникновения долгового обязательства (нормативный правовой акт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1D41DBE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муниципальной гарантии, договора о предоставлении муниципальной гарантии;</w:t>
      </w:r>
    </w:p>
    <w:p w14:paraId="029DA77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752DB6A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об обязательстве (кредитный договор (соглашение)/договор (соглашение) об открытии кредитной линии);</w:t>
      </w:r>
    </w:p>
    <w:p w14:paraId="75C4F04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1F42827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способы и источники обеспечения долгового обязательства (залог, поручительство, банковская гарантия и др.);</w:t>
      </w:r>
    </w:p>
    <w:p w14:paraId="55943C1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субсидиарная/солидарная ответственность по гарантии;</w:t>
      </w:r>
    </w:p>
    <w:p w14:paraId="32D219E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наличие права регрессного требования гаранта к принципалу;</w:t>
      </w:r>
    </w:p>
    <w:p w14:paraId="413924D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(соглашением)/ кредитной линией;</w:t>
      </w:r>
    </w:p>
    <w:p w14:paraId="4847F99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об изменении обязательств в течение периода действия муниципальной гарантии: информация о привлечении принципалом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кредита и о погашении основного долга принципалом/гарантом, а также сведения об уплате процентных платежей принципалом/гарантом;</w:t>
      </w:r>
    </w:p>
    <w:p w14:paraId="0C3FF93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(задолженности) на 1-е число месяца, следующего за отчетным.</w:t>
      </w:r>
    </w:p>
    <w:p w14:paraId="0D49870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58CD162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средств, гарантируемых по гарантии (основной долг и/или проценты за пользование);</w:t>
      </w:r>
    </w:p>
    <w:p w14:paraId="4ED748A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иные сведения, раскрывающие условия гарантии.</w:t>
      </w:r>
    </w:p>
    <w:p w14:paraId="340C20BD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0D13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IV Раздел.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бюджетным кредитам, привлеченным в бюджет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Жирятинского муниципального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 xml:space="preserve">Брянской области 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от бюджетов других уровней бюджетной системы Российской Федерации:</w:t>
      </w:r>
    </w:p>
    <w:p w14:paraId="4777340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порядковый номер долгового обязательства;</w:t>
      </w:r>
    </w:p>
    <w:p w14:paraId="4313AC7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вид долгового обязательства и наименование кредитора;</w:t>
      </w:r>
    </w:p>
    <w:p w14:paraId="64CCF6D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объём долгового обязательства;</w:t>
      </w:r>
    </w:p>
    <w:p w14:paraId="2627C37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основание возникновения долгового обязательства (нормативный правовой акт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5E81BE9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(соглашения);</w:t>
      </w:r>
    </w:p>
    <w:p w14:paraId="327A4A7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номер и дата договора (соглашения) об изменении долгового обязательства;</w:t>
      </w:r>
    </w:p>
    <w:p w14:paraId="1888021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цель привлечения заимствований, из которых вытекает долговое обязательство;</w:t>
      </w:r>
    </w:p>
    <w:p w14:paraId="34C3EE3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источники обеспечения обязательства (залог, поручительство, банковская гарантия, статья расходов бюджета </w:t>
      </w:r>
      <w:r w:rsidR="0027373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5B95812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 по кредиту;</w:t>
      </w:r>
    </w:p>
    <w:p w14:paraId="118792BA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изменении долгового обязательства путем привлечения и погашения кредита;</w:t>
      </w:r>
    </w:p>
    <w:p w14:paraId="1914A4D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об объёме долга (задолженность) на 1-е число месяца, следующего за отчетным;</w:t>
      </w:r>
    </w:p>
    <w:p w14:paraId="4804999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сведения о расходах на обслуживание долгового обязательства (вид расходов (% комиссии, штрафные санкции), дата и сумма выплат).</w:t>
      </w:r>
    </w:p>
    <w:p w14:paraId="7384BBE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Графа «Примечание» может содержать информацию:</w:t>
      </w:r>
    </w:p>
    <w:p w14:paraId="462A41E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иные сведения, раскрывающие условия получения бюджетного кредита.</w:t>
      </w:r>
    </w:p>
    <w:p w14:paraId="5E2FD7D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9576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V раздел. Итоговые значения долговых обязательств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Жирятинского </w:t>
      </w:r>
      <w:r w:rsidR="00CB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(по разделам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I-IV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, помесячно):</w:t>
      </w:r>
    </w:p>
    <w:p w14:paraId="061A2E7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кредитные соглашения/договоры от кредитных организаций, заключенные от имени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–Жирятинский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муниципальный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76037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муниципальные ценные бумаги</w:t>
      </w:r>
      <w:r w:rsidR="004D41CC" w:rsidRPr="004D41CC">
        <w:t xml:space="preserve">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–Жирятинский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муниципальный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район;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6FE3D2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гарантии и договоры о предоставлении муниципальных гарантий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–Жирятинский </w:t>
      </w:r>
      <w:r w:rsidR="00CB59BF" w:rsidRPr="00CB59BF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район;</w:t>
      </w:r>
    </w:p>
    <w:p w14:paraId="5E839ED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договоры и соглашения о получении </w:t>
      </w:r>
      <w:r w:rsidR="004D41CC" w:rsidRPr="004D41CC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кредитов от бюджетов других уровней бюджетной системы Российской Федерации.</w:t>
      </w:r>
    </w:p>
    <w:p w14:paraId="7A72919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488A7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Ведение Долговой книги осуществляется путем заполнения:</w:t>
      </w:r>
    </w:p>
    <w:p w14:paraId="31F43EF6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- на бумажном носителе текстовых и цифровых показателей, характеризующих возникновение, движение и погашение долговых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>, включая расходы местного бюджета</w:t>
      </w:r>
      <w:r w:rsidR="004D41CC">
        <w:rPr>
          <w:rFonts w:ascii="Times New Roman" w:hAnsi="Times New Roman" w:cs="Times New Roman"/>
          <w:color w:val="000000"/>
          <w:sz w:val="28"/>
          <w:szCs w:val="28"/>
        </w:rPr>
        <w:t xml:space="preserve"> Жирятинского муниципального района Брянской области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, связанные с обслуживанием указанных обязательств;</w:t>
      </w:r>
    </w:p>
    <w:p w14:paraId="02202D6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- в электронном виде с использованием программного комплекса Smart-Бюджет.</w:t>
      </w:r>
    </w:p>
    <w:p w14:paraId="277A6737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несоответствий между записями на бумажном носителе и электронном носителе Долговой книги приоритет имеют записи на бумажном носителе.</w:t>
      </w:r>
    </w:p>
    <w:p w14:paraId="1DD6759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Долговая книга </w:t>
      </w:r>
      <w:proofErr w:type="spell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сброшюровывается</w:t>
      </w:r>
      <w:proofErr w:type="spell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, пронумеровывается, скрепляется печатью и подписью руководителя финансового </w:t>
      </w:r>
      <w:r w:rsidR="00185AF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85AFB"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68D1DB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При изменении формы Долговой книги предыдущая Долговая книга закрывается и открывается Долговая книга в соответствии с утвержденной формой.</w:t>
      </w:r>
    </w:p>
    <w:p w14:paraId="1B478F6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Внутри разделов регистрационные записи осуществляются в хронологическом порядке нарастающим итогом.</w:t>
      </w:r>
    </w:p>
    <w:p w14:paraId="2355623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6E01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II. Порядок ведения долговой книги</w:t>
      </w:r>
    </w:p>
    <w:p w14:paraId="25EF4D43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73CFB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Каждое долговое обязательство регистрируется отдельно.</w:t>
      </w:r>
    </w:p>
    <w:p w14:paraId="3DF396A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Регистрационные записи в Долговой книге о возникновении долгового обязательства (за исключением обязательств по муниципальным гарантиям), изменении его условий, сведения об операциях по привлечению, обслуживанию и погашению долгового обязательства вносятся на основании документов, подтверждающих возникновение, изменение либо совершение операций по принятому на учёт долговому обязательству, в срок, не превышающий пяти рабочих дней с момента  возникновения обязательства, внесения изменений и (или) совершения операций по долговому обязательству (копий соглашений/договоров, платежных документов, выписок со счета, актов сверки задолженности и других документов).</w:t>
      </w:r>
    </w:p>
    <w:p w14:paraId="44E7B7AC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</w:t>
      </w:r>
      <w:proofErr w:type="gramStart"/>
      <w:r w:rsidRPr="00AB1A58">
        <w:rPr>
          <w:rFonts w:ascii="Times New Roman" w:hAnsi="Times New Roman" w:cs="Times New Roman"/>
          <w:color w:val="000000"/>
          <w:sz w:val="28"/>
          <w:szCs w:val="28"/>
        </w:rPr>
        <w:t>получения  сведений</w:t>
      </w:r>
      <w:proofErr w:type="gramEnd"/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087E1901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 муниципального внутреннего долга осуществляется в валюте Российской Федерации. При наличии долговых обязательств, объём которых определен в рублях с копейками, последние указываются в Долговой книге. </w:t>
      </w:r>
    </w:p>
    <w:p w14:paraId="6891F4D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 на дату регистрации.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14:paraId="426A756E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Записи данных в I, II и IV разделах Долговой книги осуществляются на основании копий платежных документов о произведенных расходах бюджета городского округа город Фокино на погашение основного долга и процентов.</w:t>
      </w:r>
    </w:p>
    <w:p w14:paraId="0927E5F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Уменьшение объёма задолженности по муниципальным гарантиям, а также осуществление записи данных в Долговой книге в столбцах «Изменение обязательств в течение ____ года» и «Расходы на обслуживание долгового обязательства» осуществляются в столбцах «Погашено (основной долг/процентные платежи за пользование кредитом) принципалом» на основании предоставленных принципалом и заверенных бенефициаром документов о погашении гарантируемого обязательства (основного долга и/или процентов).</w:t>
      </w:r>
    </w:p>
    <w:p w14:paraId="5AACEE05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Исполнение муниципальных гарантий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гарантом подлежит отражению в Долговой книге в столбцах «Погашено (основной долг/процентные платежи за пользование кредитом) гарантом» на основании копий платежных документов о произведенных расходах бюджета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>Жирятинского муниципального района Брянской области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 по исполнению обязательств гаранта по муниципальной гарантии.</w:t>
      </w:r>
    </w:p>
    <w:p w14:paraId="37341ABF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реструктуризации долгового обязательства подлежит отражению в Долговой книге в столбце «Примечание».</w:t>
      </w:r>
    </w:p>
    <w:p w14:paraId="64F2DE9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AB1A58">
        <w:rPr>
          <w:rFonts w:ascii="Times New Roman" w:hAnsi="Times New Roman" w:cs="Times New Roman"/>
          <w:color w:val="000000"/>
          <w:sz w:val="28"/>
          <w:szCs w:val="28"/>
        </w:rPr>
        <w:tab/>
        <w:t>Итоги реструктуризации долгового обязательства, послужившей основанием для прекращения долгового обязательства с заменой его иным долговым обязательством, предусматривающим другие условия обслуживания и погашения, подлежит отражению в Долговой книге, как новое долговое обязательство, с отметкой о прекращении предыдущего (реструктурированного) обязательства.</w:t>
      </w:r>
    </w:p>
    <w:p w14:paraId="54511799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327E4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1E3178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58">
        <w:rPr>
          <w:rFonts w:ascii="Times New Roman" w:hAnsi="Times New Roman" w:cs="Times New Roman"/>
          <w:color w:val="000000"/>
          <w:sz w:val="28"/>
          <w:szCs w:val="28"/>
        </w:rPr>
        <w:t xml:space="preserve">III. Предоставление информации и отчетности о состоянии и движении муниципального долга 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B4608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5B5C81B0" w14:textId="77777777" w:rsidR="00AB1A58" w:rsidRPr="00AB1A58" w:rsidRDefault="00AB1A58" w:rsidP="00AB1A58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82685" w14:textId="77777777" w:rsidR="00AB1A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1A58" w:rsidRPr="00AB1A58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Долговой книге, является конфиденциальной.</w:t>
      </w:r>
    </w:p>
    <w:p w14:paraId="131A5DD0" w14:textId="77777777" w:rsidR="00CB59BF" w:rsidRDefault="00DA7358" w:rsidP="00DA7358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долговых </w:t>
      </w:r>
      <w:proofErr w:type="gramStart"/>
      <w:r w:rsidRPr="00DA7358">
        <w:rPr>
          <w:rFonts w:ascii="Times New Roman" w:hAnsi="Times New Roman" w:cs="Times New Roman"/>
          <w:color w:val="000000"/>
          <w:sz w:val="28"/>
          <w:szCs w:val="28"/>
        </w:rPr>
        <w:t>обязательствах  Жирятинского</w:t>
      </w:r>
      <w:proofErr w:type="gramEnd"/>
    </w:p>
    <w:p w14:paraId="758DAF74" w14:textId="77777777" w:rsidR="00DA7358" w:rsidRPr="00DA7358" w:rsidRDefault="00CB59BF" w:rsidP="00CB59BF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358"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proofErr w:type="gramStart"/>
      <w:r w:rsidR="00DA7358" w:rsidRPr="00DA7358">
        <w:rPr>
          <w:rFonts w:ascii="Times New Roman" w:hAnsi="Times New Roman" w:cs="Times New Roman"/>
          <w:color w:val="000000"/>
          <w:sz w:val="28"/>
          <w:szCs w:val="28"/>
        </w:rPr>
        <w:t>подлежит  передаче</w:t>
      </w:r>
      <w:proofErr w:type="gramEnd"/>
      <w:r w:rsidR="00DA7358"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финансов Брянской  области в порядке и сроки, установленные Департаментом финансов Брянской  области.</w:t>
      </w:r>
    </w:p>
    <w:p w14:paraId="5790EC80" w14:textId="77777777" w:rsidR="00DA7358" w:rsidRPr="00DA73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долговых обязательствах Жирятинского</w:t>
      </w:r>
      <w:r w:rsid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F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направляется в Жирятинский районный Совет народных депутатов, в Контрольно-счетную палату Жирятинского </w:t>
      </w:r>
      <w:proofErr w:type="gramStart"/>
      <w:r w:rsidRPr="00DA7358">
        <w:rPr>
          <w:rFonts w:ascii="Times New Roman" w:hAnsi="Times New Roman" w:cs="Times New Roman"/>
          <w:color w:val="000000"/>
          <w:sz w:val="28"/>
          <w:szCs w:val="28"/>
        </w:rPr>
        <w:t>района  в</w:t>
      </w:r>
      <w:proofErr w:type="gramEnd"/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отчетности об исполнении районного бюджета.</w:t>
      </w:r>
    </w:p>
    <w:p w14:paraId="6DCDD1F9" w14:textId="77777777" w:rsidR="00DA7358" w:rsidRPr="00DA73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договора о возникновении долгового обязательства кредиторы по долговым обязательствам Жирятинского </w:t>
      </w:r>
      <w:r w:rsidR="00CB59BF" w:rsidRPr="00CB59BF">
        <w:rPr>
          <w:rFonts w:ascii="Times New Roman" w:hAnsi="Times New Roman" w:cs="Times New Roman"/>
          <w:sz w:val="28"/>
          <w:szCs w:val="28"/>
        </w:rPr>
        <w:t>муниципальн</w:t>
      </w:r>
      <w:r w:rsidR="00CB59BF">
        <w:rPr>
          <w:rFonts w:ascii="Times New Roman" w:hAnsi="Times New Roman" w:cs="Times New Roman"/>
          <w:sz w:val="28"/>
          <w:szCs w:val="28"/>
        </w:rPr>
        <w:t>ого</w:t>
      </w:r>
      <w:r w:rsidR="00CB59BF" w:rsidRPr="00CB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358">
        <w:rPr>
          <w:rFonts w:ascii="Times New Roman" w:hAnsi="Times New Roman" w:cs="Times New Roman"/>
          <w:color w:val="000000"/>
          <w:sz w:val="28"/>
          <w:szCs w:val="28"/>
        </w:rPr>
        <w:t>района имеют право получить выписку из Долговой книги, подтверждающую регистрацию долгового обязательства, в сроки, установленные данным договором.</w:t>
      </w:r>
    </w:p>
    <w:p w14:paraId="0BFD37BE" w14:textId="77777777" w:rsidR="00DA7358" w:rsidRPr="00AB1A58" w:rsidRDefault="00DA7358" w:rsidP="00DA7358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7358" w:rsidRPr="00AB1A58" w:rsidSect="00EE0CC4">
      <w:pgSz w:w="11907" w:h="16840" w:code="9"/>
      <w:pgMar w:top="851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D7EB" w14:textId="77777777" w:rsidR="00B813EB" w:rsidRDefault="00B813EB" w:rsidP="00674152">
      <w:r>
        <w:separator/>
      </w:r>
    </w:p>
  </w:endnote>
  <w:endnote w:type="continuationSeparator" w:id="0">
    <w:p w14:paraId="05B9C72D" w14:textId="77777777" w:rsidR="00B813EB" w:rsidRDefault="00B813EB" w:rsidP="006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FC02" w14:textId="77777777" w:rsidR="00B813EB" w:rsidRDefault="00B813EB" w:rsidP="00674152">
      <w:r>
        <w:separator/>
      </w:r>
    </w:p>
  </w:footnote>
  <w:footnote w:type="continuationSeparator" w:id="0">
    <w:p w14:paraId="20F57BC8" w14:textId="77777777" w:rsidR="00B813EB" w:rsidRDefault="00B813EB" w:rsidP="0067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F78"/>
    <w:multiLevelType w:val="hybridMultilevel"/>
    <w:tmpl w:val="71A2AE98"/>
    <w:lvl w:ilvl="0" w:tplc="072A575A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E210AEA"/>
    <w:multiLevelType w:val="hybridMultilevel"/>
    <w:tmpl w:val="C8527772"/>
    <w:lvl w:ilvl="0" w:tplc="E68AB860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A52"/>
    <w:rsid w:val="00030037"/>
    <w:rsid w:val="00077CA8"/>
    <w:rsid w:val="000E35C6"/>
    <w:rsid w:val="000F73F7"/>
    <w:rsid w:val="00136A03"/>
    <w:rsid w:val="00185AFB"/>
    <w:rsid w:val="0018744E"/>
    <w:rsid w:val="001B29DD"/>
    <w:rsid w:val="001F6AC9"/>
    <w:rsid w:val="00207D7B"/>
    <w:rsid w:val="00273737"/>
    <w:rsid w:val="00281713"/>
    <w:rsid w:val="002C420B"/>
    <w:rsid w:val="002F78F3"/>
    <w:rsid w:val="003758E4"/>
    <w:rsid w:val="003966DB"/>
    <w:rsid w:val="0041789B"/>
    <w:rsid w:val="00461E52"/>
    <w:rsid w:val="004803F6"/>
    <w:rsid w:val="0049579C"/>
    <w:rsid w:val="00495A54"/>
    <w:rsid w:val="004D41CC"/>
    <w:rsid w:val="004D68D2"/>
    <w:rsid w:val="00674152"/>
    <w:rsid w:val="00692CA5"/>
    <w:rsid w:val="00697AF7"/>
    <w:rsid w:val="006C0B22"/>
    <w:rsid w:val="006C2856"/>
    <w:rsid w:val="006D4CD1"/>
    <w:rsid w:val="0074232E"/>
    <w:rsid w:val="00792547"/>
    <w:rsid w:val="00820B56"/>
    <w:rsid w:val="00861055"/>
    <w:rsid w:val="0086759D"/>
    <w:rsid w:val="00881F34"/>
    <w:rsid w:val="0089448C"/>
    <w:rsid w:val="0095212C"/>
    <w:rsid w:val="0097104C"/>
    <w:rsid w:val="009D25EE"/>
    <w:rsid w:val="009F11DB"/>
    <w:rsid w:val="009F748F"/>
    <w:rsid w:val="00A31E86"/>
    <w:rsid w:val="00A727F5"/>
    <w:rsid w:val="00AB1A58"/>
    <w:rsid w:val="00B0681D"/>
    <w:rsid w:val="00B107BA"/>
    <w:rsid w:val="00B46087"/>
    <w:rsid w:val="00B813EB"/>
    <w:rsid w:val="00BC4A52"/>
    <w:rsid w:val="00BE2E83"/>
    <w:rsid w:val="00BF1215"/>
    <w:rsid w:val="00BF6B30"/>
    <w:rsid w:val="00C102CF"/>
    <w:rsid w:val="00C12BAB"/>
    <w:rsid w:val="00C16D89"/>
    <w:rsid w:val="00C40FAA"/>
    <w:rsid w:val="00CB59BF"/>
    <w:rsid w:val="00DA7358"/>
    <w:rsid w:val="00DB2292"/>
    <w:rsid w:val="00DB51A9"/>
    <w:rsid w:val="00DE1E17"/>
    <w:rsid w:val="00EA172F"/>
    <w:rsid w:val="00ED6160"/>
    <w:rsid w:val="00EE0CC4"/>
    <w:rsid w:val="00F044E6"/>
    <w:rsid w:val="00F101DE"/>
    <w:rsid w:val="00F15B36"/>
    <w:rsid w:val="00F33AE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C0E3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BC4A5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4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152"/>
    <w:rPr>
      <w:sz w:val="24"/>
      <w:szCs w:val="24"/>
    </w:rPr>
  </w:style>
  <w:style w:type="paragraph" w:styleId="a7">
    <w:name w:val="footer"/>
    <w:basedOn w:val="a"/>
    <w:link w:val="a8"/>
    <w:uiPriority w:val="99"/>
    <w:rsid w:val="00674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189417BCFC12CBD87F00950E629AAF306AA864B1D36C446DB9E2AC8B7209E0C860AC211FEsC1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189417BCFC12CBD87F00950E629AAF306AA864B1D36C446DB9E2AC8B7209E0C860AC211FFsC1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2023-11-02T12:09:00Z</dcterms:created>
  <dcterms:modified xsi:type="dcterms:W3CDTF">2023-11-02T12:09:00Z</dcterms:modified>
</cp:coreProperties>
</file>